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7"/>
        <w:gridCol w:w="18480"/>
        <w:gridCol w:w="33"/>
        <w:gridCol w:w="78"/>
      </w:tblGrid>
      <w:tr>
        <w:trPr>
          <w:trHeight w:val="132"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tbl>
            <w:tblPr>
              <w:tblCellMar>
                <w:top w:w="0" w:type="dxa"/>
                <w:left w:w="0" w:type="dxa"/>
                <w:bottom w:w="0" w:type="dxa"/>
                <w:right w:w="0" w:type="dxa"/>
              </w:tblCellMar>
            </w:tblPr>
            <w:tblGrid>
              <w:gridCol w:w="18480"/>
            </w:tblGrid>
            <w:tr>
              <w:trPr>
                <w:trHeight w:val="262" w:hRule="atLeast"/>
              </w:trPr>
              <w:tc>
                <w:tcPr>
                  <w:tcW w:w="18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Naziv naručitelja: Gradska knjižnica Rijeka</w:t>
                  </w:r>
                </w:p>
              </w:tc>
            </w:tr>
          </w:tbl>
          <w:p>
            <w:pPr>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tbl>
            <w:tblPr>
              <w:tblCellMar>
                <w:top w:w="0" w:type="dxa"/>
                <w:left w:w="0" w:type="dxa"/>
                <w:bottom w:w="0" w:type="dxa"/>
                <w:right w:w="0" w:type="dxa"/>
              </w:tblCellMar>
            </w:tblPr>
            <w:tblGrid>
              <w:gridCol w:w="18480"/>
            </w:tblGrid>
            <w:tr>
              <w:trPr>
                <w:trHeight w:val="262" w:hRule="atLeast"/>
              </w:trPr>
              <w:tc>
                <w:tcPr>
                  <w:tcW w:w="18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Godina: 2019</w:t>
                  </w:r>
                </w:p>
              </w:tc>
            </w:tr>
          </w:tbl>
          <w:p>
            <w:pPr>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8"/>
              <w:gridCol w:w="1417"/>
              <w:gridCol w:w="1417"/>
              <w:gridCol w:w="1271"/>
              <w:gridCol w:w="1417"/>
              <w:gridCol w:w="1822"/>
              <w:gridCol w:w="1417"/>
              <w:gridCol w:w="892"/>
              <w:gridCol w:w="997"/>
              <w:gridCol w:w="967"/>
              <w:gridCol w:w="1417"/>
              <w:gridCol w:w="907"/>
              <w:gridCol w:w="937"/>
              <w:gridCol w:w="2251"/>
              <w:gridCol w:w="1012"/>
            </w:tblGrid>
            <w:tr>
              <w:trPr>
                <w:trHeight w:val="1327" w:hRule="atLeast"/>
              </w:trPr>
              <w:tc>
                <w:tcPr>
                  <w:tcW w:w="368"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Rbr</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1271"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Brojčana oznaka premeta nabave iz CPV-a</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Procijenjena vrijednost nabave (u kunama)</w:t>
                  </w:r>
                </w:p>
              </w:tc>
              <w:tc>
                <w:tcPr>
                  <w:tcW w:w="182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(uključujući jednostavne nabave)</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Posebni režim nabave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podijeljen na grupe</w:t>
                  </w:r>
                </w:p>
              </w:tc>
              <w:tc>
                <w:tcPr>
                  <w:tcW w:w="99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Sklapa se Ugovor/okvirni sporazum</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Planirani početak postupka</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Planirano trajanje ugovora ili okvirnog sporazuma</w:t>
                  </w:r>
                </w:p>
              </w:tc>
              <w:tc>
                <w:tcPr>
                  <w:tcW w:w="90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Vrijedi od</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Vrijedi do</w:t>
                  </w:r>
                </w:p>
              </w:tc>
              <w:tc>
                <w:tcPr>
                  <w:tcW w:w="2251"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Status promjene</w:t>
                  </w: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čišćenja poslovnih prostora Gradske knjižnice Rijeka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90910000-9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112.000,00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Siječanj 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Gorivo (motorni benzin i dizel gorivo)</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Siječanj 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1.2.2019.-31.12.2019.</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službenog vozila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Siječanj 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1.2.2019.-31.12.2019.</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Naknada za hotelski smještaj kod službenih putovanja (i za vanjske suradnike)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55110000-4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53.982,30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Tečajevi i stručni ispiti radnika Knjižnice (usluge stručnog osposobljavanja)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80530000-8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Seminari, savjetovanja, različite radionice (obrazovni seminari)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80522000-9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Toner za laserske pisače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30125110-5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Fotokopirni papir</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30197643-5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Uredske potrepštine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30192000-1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Magnetske trake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30234700-5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Etikete s bar kodom</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30199761-2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47.050,00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JN-11/2019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Etikete s bar kodom</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30199761-2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Folije od polistirena/Zaštitne folije za knjige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19521100-5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JN-12/2019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Folije od polistirena/Zaštitne folije za knjige</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19521100-5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Novine, dnevnici/revije,periodične publikacije i časopisi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22200000-2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Skupno prikazana nabava različitih naslova i autora</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i sredstva za čišćenje i održavanje, materijal za higijenske potrebe i njegu (proizvodi za čišćenje)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Radna odjeća (službena, radna i zaštitna odjeća)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18110000-3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 ( opskrba električnom energijom i naknada za mrežarinu)</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102.800,00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w:t>
                  </w: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Okvirni sporazum</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proveden u studenom/prosincu 2017.g.</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1.1.2019-31.12.2019.</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objedinjene nabave električne energije proveo je Grad Rijeka, za sve ustanove kojima je vlasnik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Višegodišnji</w:t>
                  </w: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Elektroinstalacijski radovi   (uključujući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45310000-3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JN-19/2019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Ličilački radovi (uključujući 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45442100-8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Stolarski radovi (uključujući 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45421000-4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Staklarski radovi (uključujući i potreban materijal/dijelove)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45441000-0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i dijelovi za tek. i inv.održavanje opreme i transportnih sredstava (razni rezervni dijelovi)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34913000-0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Električne potrepštine i pribor</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31680000-6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Igračke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37520000-9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knjižnice (držači knjiga)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39155100-4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Izložbeni stalci (stalak od pleksiglasa)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39154100-7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Gume za bibliobusnu službu (gume za teška i laka vozila)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34350000-5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Telefon, mobilna mreža, internet</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64210000-1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JN-29/2019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klima uređaja (usluge popravka i održavanja rashladnih skupina)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50730000-1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telekomunikacijske opreme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50330000-7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i servisiranja vatrodojavnih sustava (usluge popravka i održavanja aparata za mjerenje, ispitivanje i kontrolu)</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50410000-2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i servisiranja vatrogasnih aparata (usluge popravka i doržavanja vatrogasne opreme)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50413200-5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prijevoznih sredstava (usluge popravka i održavanja teretnih vozila)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50114000-7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22462000-6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JN-35/2019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Promidžbeni materijal</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22462000-6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vodom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3.520,00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Iznošenje i odvoz smeća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JN-37/2019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Iznošenje i odvoz smeća (komunalne usluge)</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35.400,00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Pričuva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Komunalna naknada i naknada za uređenje voda (komunalne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JN-39/2019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Komunalna naknada i naknada za uređenje voda (komunalne usluge)</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davanja nestambene nekretnine u najam ili zakup (zakup poslovnih prostora)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70220000-9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fotokopirnog uređaja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79521000-2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Student servisa (usluge zapošljavanja)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79600000-0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programske podrške za mrežni informacijski sustav ZAKI (naknade za korištenje i održavanje centralnog sustava za programsku podršku ZAKI, naknade za korisničku podršku)</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72267100-0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47.600,00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Programski paketi i informacijski sustavi (licence)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48000000-8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Ulaganja u računalne programe (razni programski paketi i računalni sustavi)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48900000-7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30230000-0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JN-46/2019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30230000-0 </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Uređaji za klimatizaciju (nabava i ugradnja)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39717200-3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JN-47/2019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Uređaji za klimatizaciju (nabava i ugradnja)</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39717200-3</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39130000-2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JN-49/2019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umjetničkog i literarnog stvaralaštva i usluge prikazivanja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92310000-7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2019.g. sklapat će se pojedinačni autorski ugovori s različitim autorima u sklopu različitih programa Knjižnice:za članke/tekstove koji će se objavljivati u Web-Magazinu Knjižnice, dječjem časopisu Brickzine-tiskano i on-line izdanje (dječji časopis Brickzine jedan je od programskih pravaca koji se odvija unutar projekta Europska prijestolnica kulture Rijeka 2020), autorski ugovori unutar Mjeseca hrvatske knjige, Tjedna dobre dječje knjige, autorski ugovori za</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raznih radionica/pričaonica za djecu, književnih večeri/tribina, predavanja,programa...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92511000-6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143.000,00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2019.g. sklapat će se pojedinačni ugovori s različitim izvršiteljima za održavanje raznih radionica i pričaonica namijenjenih djeci, raznih predavanja, izlaganja, književnih večeri/tribina, sve u sklopu različitih programa Knjižnice (American corner, Mjesec hrvatske knjige, Tjedan dobre dječje knjige, festival Tobogan, Književna nagrada Drago Gervais, časopisi Brickzine i Web-Magazin...)</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JN-50/2019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raznih radionica/pričaonica za djecu, književnih večeri/tribina, predavanja,programa...</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92511000-6</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135.000,00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2019.g. sklapat će se pojedinačni ugovori s različitim izvršiteljima za održavanje raznih radionica i pričaonica namijenjenih djeci, raznih predavanja, izlaganja, književnih večeri/tribina, sve u sklopu različitih programa Knjižnice (American corner, Mjesec hrvatske knjige, Tjedan dobre dječje knjige, festival Tobogan, Književna nagrada Drago Gervais, časopisi Brickzine i Web-Magazin...)</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Tiskanje i s tim povezane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79800000-2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124.960,00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JN-51/2019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Tiskanje i s tim povezane usluge</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79800000-2</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110.160,00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obrade teksta (usluge lektoriranja i korekture)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79552000-8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Grafička priprema (usluge grafičkog oblikovanja)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79822500-7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 potrebe izdavanja časopisa Brickzine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Grafički dizajn (usluge grafičkog oblikovanja)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79822500-7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 potrebe izdavanja časopisa Brickzine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obrade teksta (urednički poslovi)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79552000-8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web dizajna (razvoj, izrada i web dizajn internetske stranice časopisa Brickzine)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72413000-8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 potrebe on-line časopisa Brickzine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www stranice (on line izdanje časopisa Brickzine)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72415000-2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uvezivanja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79971200-3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JN-59/2019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pri registraciji vozila (tehnički pregled i popratni troškovi)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71631200-2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čuvanja imovine (usluge na području sigurnosti)</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79710000-4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21.260,00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prijevoznih sredstava (usluge osiguranja)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37.185,00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radnika (usluge osiguranja)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JN-63/2019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Pravne usluge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79100000-5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JN-64/2019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Bankarske usluge i usluge platnog prometa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66110000-4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JN-65/2019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Članarine</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98133000-4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JN-66/2019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 (uključujući i elektroničke knjige, te neknjižna građa)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1.384.917,61</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Skupno prikazana nabava različitih naslova i autora; prikazana i nabava neknjižne građe (DVD i CD naslova) obzirom ne postoji prikladna CPV oznaka za ovu vrstu građe</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JN-66/2019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 (uključujući i elektroničke knjige, te neknjižna građa)</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22113000-5</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1.195.100,00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Skupno prikazana nabava različitih naslova i autora; prikazana i nabava neknjižne građe (DVD i CD naslova) obzirom ne postoji prikladna CPV oznaka za ovu vrstu građe</w:t>
                  </w: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67</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JN-67/2019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Komunikacijska oprema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32570000-9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JN-68/2019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Razni prehrambeni proizvodi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15890000-3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JN-69/2019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Bezalkoholna pića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15980000-1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JN-70/2019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Kava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15861000-1 </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tcBorders>
                    <w:top w:val="single"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JN-71/2019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restorana i usluge posluživanja hranom (reprezentacija)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55300000-3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19.200,00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r>
            <w:tr>
              <w:trPr>
                <w:trHeight w:val="262" w:hRule="atLeast"/>
              </w:trPr>
              <w:tc>
                <w:tcPr>
                  <w:tcW w:w="368" w:type="dxa"/>
                  <w:vMerge w:val="restart"/>
                  <w:tcBorders>
                    <w:top w:val="single" w:color="000000" w:sz="7"/>
                    <w:left w:val="single" w:color="000000" w:sz="7"/>
                    <w:bottom w:val="nil" w:color="000000" w:sz="7"/>
                    <w:right w:val="single" w:color="000000" w:sz="7"/>
                  </w:tcBorders>
                  <w:shd w:val="clear" w:fill="FFFFFF"/>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JN-72/2019</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oglašavanja</w:t>
                  </w:r>
                </w:p>
              </w:tc>
              <w:tc>
                <w:tcPr>
                  <w:tcW w:w="127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79341000-6</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21.360,00</w:t>
                  </w:r>
                </w:p>
              </w:tc>
              <w:tc>
                <w:tcPr>
                  <w:tcW w:w="182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251"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Izmijenjena</w:t>
                  </w:r>
                </w:p>
              </w:tc>
            </w:tr>
            <w:tr>
              <w:trPr>
                <w:trHeight w:val="262" w:hRule="atLeast"/>
              </w:trPr>
              <w:tc>
                <w:tcPr>
                  <w:tcW w:w="368" w:type="dxa"/>
                  <w:vMerge w:val="continue"/>
                  <w:tcBorders>
                    <w:top w:val="nil" w:color="000000" w:sz="7"/>
                    <w:left w:val="single" w:color="000000" w:sz="7"/>
                    <w:bottom w:val="single" w:color="000000" w:sz="7"/>
                    <w:right w:val="single" w:color="000000" w:sz="7"/>
                  </w:tcBorders>
                  <w:shd w:val="clear" w:fill="FFFFFF"/>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JN-72/2019</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oglašavanja</w:t>
                  </w:r>
                </w:p>
              </w:tc>
              <w:tc>
                <w:tcPr>
                  <w:tcW w:w="127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79341000-6</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2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Postupak jednostavne nabave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9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Narudžbenica</w:t>
                  </w:r>
                </w:p>
              </w:tc>
              <w:tc>
                <w:tcPr>
                  <w:tcW w:w="96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left"/>
                  </w:pPr>
                  <w:r>
                    <w:rPr>
                      <w:rFonts w:ascii="Arial" w:hAnsi="Arial" w:eastAsia="Arial"/>
                      <w:color w:val="000000"/>
                      <w:sz w:val="14"/>
                    </w:rPr>
                    <w:t xml:space="preserve">Tijekom godine</w:t>
                  </w:r>
                </w:p>
              </w:tc>
              <w:tc>
                <w:tcPr>
                  <w:tcW w:w="141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90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937"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22.07.2019</w:t>
                  </w:r>
                </w:p>
              </w:tc>
              <w:tc>
                <w:tcPr>
                  <w:tcW w:w="2251"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shd w:val="clear" w:fill="DCDCDC"/>
                  <w:tcMar>
                    <w:top w:w="39" w:type="dxa"/>
                    <w:left w:w="39" w:type="dxa"/>
                    <w:bottom w:w="39" w:type="dxa"/>
                    <w:right w:w="39" w:type="dxa"/>
                  </w:tcMar>
                </w:tcPr>
                <w:p>
                  <w:pPr>
                    <w:spacing w:after="0" w:line="240" w:lineRule="auto"/>
                  </w:pPr>
                </w:p>
              </w:tc>
            </w:tr>
          </w:tbl>
          <w:p>
            <w:pPr>
              <w:spacing w:after="0" w:line="240" w:lineRule="auto"/>
            </w:pPr>
          </w:p>
        </w:tc>
        <w:tc>
          <w:tcPr>
            <w:tcW w:w="33" w:type="dxa"/>
            <w:hMerge w:val="continue"/>
          </w:tcPr>
          <w:p>
            <w:pPr>
              <w:pStyle w:val="EmptyCellLayoutStyle"/>
              <w:spacing w:after="0" w:line="240" w:lineRule="auto"/>
            </w:pPr>
          </w:p>
        </w:tc>
        <w:tc>
          <w:tcPr>
            <w:tcW w:w="78"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59" w:hRule="atLeast"/>
        </w:trPr>
        <w:tc>
          <w:tcPr>
            <w:tcW w:w="35"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18488"/>
            </w:tblGrid>
            <w:tr>
              <w:trPr>
                <w:trHeight w:val="282" w:hRule="atLeast"/>
              </w:trPr>
              <w:tc>
                <w:tcPr>
                  <w:tcW w:w="184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zadnje izmjene plana: 22.07.2019 10:52</w:t>
                  </w:r>
                </w:p>
              </w:tc>
            </w:tr>
          </w:tbl>
          <w:p>
            <w:pPr>
              <w:spacing w:after="0" w:line="240" w:lineRule="auto"/>
            </w:pPr>
          </w:p>
        </w:tc>
        <w:tc>
          <w:tcPr>
            <w:tcW w:w="18480" w:type="dxa"/>
            <w:hMerge w:val="continue"/>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60" w:hRule="atLeast"/>
        </w:trPr>
        <w:tc>
          <w:tcPr>
            <w:tcW w:w="35" w:type="dxa"/>
          </w:tcPr>
          <w:p>
            <w:pPr>
              <w:pStyle w:val="EmptyCellLayoutStyle"/>
              <w:spacing w:after="0" w:line="240" w:lineRule="auto"/>
            </w:pPr>
          </w:p>
        </w:tc>
        <w:tc>
          <w:tcPr>
            <w:tcW w:w="7" w:type="dxa"/>
          </w:tcPr>
          <w:p>
            <w:pPr>
              <w:pStyle w:val="EmptyCellLayoutStyle"/>
              <w:spacing w:after="0" w:line="240" w:lineRule="auto"/>
            </w:pPr>
          </w:p>
        </w:tc>
        <w:tc>
          <w:tcPr>
            <w:tcW w:w="18480" w:type="dxa"/>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r>
        <w:trPr>
          <w:trHeight w:val="359" w:hRule="atLeast"/>
        </w:trPr>
        <w:tc>
          <w:tcPr>
            <w:tcW w:w="35"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18488"/>
            </w:tblGrid>
            <w:tr>
              <w:trPr>
                <w:trHeight w:val="282" w:hRule="atLeast"/>
              </w:trPr>
              <w:tc>
                <w:tcPr>
                  <w:tcW w:w="184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objave plana nabave: 25.01.2019 10:36</w:t>
                  </w:r>
                </w:p>
              </w:tc>
            </w:tr>
          </w:tbl>
          <w:p>
            <w:pPr>
              <w:spacing w:after="0" w:line="240" w:lineRule="auto"/>
            </w:pPr>
          </w:p>
        </w:tc>
        <w:tc>
          <w:tcPr>
            <w:tcW w:w="18480" w:type="dxa"/>
            <w:hMerge w:val="continue"/>
          </w:tcPr>
          <w:p>
            <w:pPr>
              <w:pStyle w:val="EmptyCellLayoutStyle"/>
              <w:spacing w:after="0" w:line="240" w:lineRule="auto"/>
            </w:pPr>
          </w:p>
        </w:tc>
        <w:tc>
          <w:tcPr>
            <w:tcW w:w="33" w:type="dxa"/>
          </w:tcPr>
          <w:p>
            <w:pPr>
              <w:pStyle w:val="EmptyCellLayoutStyle"/>
              <w:spacing w:after="0" w:line="240" w:lineRule="auto"/>
            </w:pPr>
          </w:p>
        </w:tc>
        <w:tc>
          <w:tcPr>
            <w:tcW w:w="78"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19768" w:h="11908"/>
      <w:pgMar w:top="566" w:right="566" w:bottom="566" w:left="566"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8556"/>
      <w:gridCol w:w="78"/>
    </w:tblGrid>
    <w:tr>
      <w:trPr/>
      <w:tc>
        <w:tcPr>
          <w:tcW w:w="18556" w:type="dxa"/>
        </w:tcPr>
        <w:p>
          <w:pPr>
            <w:pStyle w:val="EmptyCellLayoutStyle"/>
            <w:spacing w:after="0" w:line="240" w:lineRule="auto"/>
          </w:pPr>
        </w:p>
      </w:tc>
      <w:tc>
        <w:tcPr>
          <w:tcW w:w="78" w:type="dxa"/>
        </w:tcPr>
        <w:p>
          <w:pPr>
            <w:pStyle w:val="EmptyCellLayoutStyle"/>
            <w:spacing w:after="0" w:line="240" w:lineRule="auto"/>
          </w:pPr>
        </w:p>
      </w:tc>
    </w:tr>
    <w:tr>
      <w:trPr/>
      <w:tc>
        <w:tcPr>
          <w:tcW w:w="18556" w:type="dxa"/>
        </w:tcPr>
        <w:tbl>
          <w:tblPr>
            <w:tblCellMar>
              <w:top w:w="0" w:type="dxa"/>
              <w:left w:w="0" w:type="dxa"/>
              <w:bottom w:w="0" w:type="dxa"/>
              <w:right w:w="0" w:type="dxa"/>
            </w:tblCellMar>
          </w:tblPr>
          <w:tblGrid>
            <w:gridCol w:w="18556"/>
          </w:tblGrid>
          <w:tr>
            <w:trPr>
              <w:trHeight w:val="262" w:hRule="atLeast"/>
            </w:trPr>
            <w:tc>
              <w:tcPr>
                <w:tcW w:w="185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78" w:type="dxa"/>
        </w:tcPr>
        <w:p>
          <w:pPr>
            <w:pStyle w:val="EmptyCellLayoutStyle"/>
            <w:spacing w:after="0" w:line="240" w:lineRule="auto"/>
          </w:pPr>
        </w:p>
      </w:tc>
    </w:tr>
    <w:tr>
      <w:trPr/>
      <w:tc>
        <w:tcPr>
          <w:tcW w:w="18556" w:type="dxa"/>
        </w:tcPr>
        <w:p>
          <w:pPr>
            <w:pStyle w:val="EmptyCellLayoutStyle"/>
            <w:spacing w:after="0" w:line="240" w:lineRule="auto"/>
          </w:pPr>
        </w:p>
      </w:tc>
      <w:tc>
        <w:tcPr>
          <w:tcW w:w="78"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195"/>
      <w:gridCol w:w="17285"/>
      <w:gridCol w:w="118"/>
    </w:tblGrid>
    <w:tr>
      <w:trPr/>
      <w:tc>
        <w:tcPr>
          <w:tcW w:w="35" w:type="dxa"/>
        </w:tcPr>
        <w:p>
          <w:pPr>
            <w:pStyle w:val="EmptyCellLayoutStyle"/>
            <w:spacing w:after="0" w:line="240" w:lineRule="auto"/>
          </w:pPr>
        </w:p>
      </w:tc>
      <w:tc>
        <w:tcPr>
          <w:tcW w:w="1195" w:type="dxa"/>
        </w:tcPr>
        <w:p>
          <w:pPr>
            <w:pStyle w:val="EmptyCellLayoutStyle"/>
            <w:spacing w:after="0" w:line="240" w:lineRule="auto"/>
          </w:pPr>
        </w:p>
      </w:tc>
      <w:tc>
        <w:tcPr>
          <w:tcW w:w="17285" w:type="dxa"/>
        </w:tcPr>
        <w:p>
          <w:pPr>
            <w:pStyle w:val="EmptyCellLayoutStyle"/>
            <w:spacing w:after="0" w:line="240" w:lineRule="auto"/>
          </w:pPr>
        </w:p>
      </w:tc>
      <w:tc>
        <w:tcPr>
          <w:tcW w:w="118"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59074" cy="253024"/>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59074" cy="253024"/>
                        </a:xfrm>
                        <a:prstGeom prst="rect">
                          <a:avLst/>
                        </a:prstGeom>
                      </pic:spPr>
                    </pic:pic>
                  </a:graphicData>
                </a:graphic>
              </wp:inline>
            </w:drawing>
          </w:r>
        </w:p>
      </w:tc>
      <w:tc>
        <w:tcPr>
          <w:tcW w:w="17285" w:type="dxa"/>
        </w:tcPr>
        <w:p>
          <w:pPr>
            <w:pStyle w:val="EmptyCellLayoutStyle"/>
            <w:spacing w:after="0" w:line="240" w:lineRule="auto"/>
          </w:pPr>
        </w:p>
      </w:tc>
      <w:tc>
        <w:tcPr>
          <w:tcW w:w="118"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vMerge w:val="continue"/>
        </w:tcPr>
        <w:p>
          <w:pPr>
            <w:pStyle w:val="EmptyCellLayoutStyle"/>
            <w:spacing w:after="0" w:line="240" w:lineRule="auto"/>
          </w:pPr>
        </w:p>
      </w:tc>
      <w:tc>
        <w:tcPr>
          <w:tcW w:w="17285" w:type="dxa"/>
        </w:tcPr>
        <w:tbl>
          <w:tblPr>
            <w:tblCellMar>
              <w:top w:w="0" w:type="dxa"/>
              <w:left w:w="0" w:type="dxa"/>
              <w:bottom w:w="0" w:type="dxa"/>
              <w:right w:w="0" w:type="dxa"/>
            </w:tblCellMar>
          </w:tblPr>
          <w:tblGrid>
            <w:gridCol w:w="17285"/>
          </w:tblGrid>
          <w:tr>
            <w:trPr>
              <w:trHeight w:val="262" w:hRule="atLeast"/>
            </w:trPr>
            <w:tc>
              <w:tcPr>
                <w:tcW w:w="1728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PLAN NABAVE</w:t>
                </w:r>
              </w:p>
            </w:tc>
          </w:tr>
        </w:tbl>
        <w:p>
          <w:pPr>
            <w:spacing w:after="0" w:line="240" w:lineRule="auto"/>
          </w:pPr>
        </w:p>
      </w:tc>
      <w:tc>
        <w:tcPr>
          <w:tcW w:w="118" w:type="dxa"/>
        </w:tcPr>
        <w:p>
          <w:pPr>
            <w:pStyle w:val="EmptyCellLayoutStyle"/>
            <w:spacing w:after="0" w:line="240" w:lineRule="auto"/>
          </w:pPr>
        </w:p>
      </w:tc>
    </w:tr>
    <w:tr>
      <w:trPr/>
      <w:tc>
        <w:tcPr>
          <w:tcW w:w="35" w:type="dxa"/>
        </w:tcPr>
        <w:p>
          <w:pPr>
            <w:pStyle w:val="EmptyCellLayoutStyle"/>
            <w:spacing w:after="0" w:line="240" w:lineRule="auto"/>
          </w:pPr>
        </w:p>
      </w:tc>
      <w:tc>
        <w:tcPr>
          <w:tcW w:w="1195" w:type="dxa"/>
        </w:tcPr>
        <w:p>
          <w:pPr>
            <w:pStyle w:val="EmptyCellLayoutStyle"/>
            <w:spacing w:after="0" w:line="240" w:lineRule="auto"/>
          </w:pPr>
        </w:p>
      </w:tc>
      <w:tc>
        <w:tcPr>
          <w:tcW w:w="17285" w:type="dxa"/>
        </w:tcPr>
        <w:p>
          <w:pPr>
            <w:pStyle w:val="EmptyCellLayoutStyle"/>
            <w:spacing w:after="0" w:line="240" w:lineRule="auto"/>
          </w:pPr>
        </w:p>
      </w:tc>
      <w:tc>
        <w:tcPr>
          <w:tcW w:w="118"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num w:numId="1">
    <w:abstractNumId w:val="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Rpt_PlanNabave</dc:title>
</cp:coreProperties>
</file>